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6D2" w:rsidRPr="005516D2" w:rsidRDefault="005516D2" w:rsidP="005516D2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color w:val="222222"/>
          <w:sz w:val="24"/>
          <w:szCs w:val="24"/>
        </w:rPr>
      </w:pPr>
      <w:r w:rsidRPr="005516D2">
        <w:rPr>
          <w:rFonts w:ascii="Times New Roman" w:hAnsi="Times New Roman" w:cs="Times New Roman"/>
          <w:b/>
          <w:color w:val="222222"/>
          <w:sz w:val="24"/>
          <w:szCs w:val="24"/>
        </w:rPr>
        <w:t>PASIRAŠYTA SUTARTIS SU EUROPOS SOCIALINIO FONDO AGENTŪRA</w:t>
      </w:r>
    </w:p>
    <w:p w:rsidR="005516D2" w:rsidRPr="005516D2" w:rsidRDefault="005516D2" w:rsidP="005516D2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 w:rsidRPr="005516D2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PROJEKTO </w:t>
      </w:r>
      <w:r w:rsidRPr="005516D2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Nr. </w:t>
      </w:r>
      <w:r w:rsidRPr="005516D2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09.2.1-ESFA-K-728-03-0048</w:t>
      </w:r>
    </w:p>
    <w:p w:rsidR="005516D2" w:rsidRPr="005516D2" w:rsidRDefault="005516D2" w:rsidP="005516D2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16D2">
        <w:rPr>
          <w:rFonts w:ascii="Times New Roman" w:hAnsi="Times New Roman" w:cs="Times New Roman"/>
          <w:b/>
          <w:sz w:val="24"/>
          <w:szCs w:val="24"/>
        </w:rPr>
        <w:t xml:space="preserve">,,KETURIOS GAMTOS STICHIJOS MOKINIŲ PAŽANGAI“ </w:t>
      </w:r>
      <w:r w:rsidRPr="005516D2">
        <w:rPr>
          <w:rFonts w:ascii="Times New Roman" w:hAnsi="Times New Roman" w:cs="Times New Roman"/>
          <w:b/>
          <w:color w:val="222222"/>
          <w:sz w:val="24"/>
          <w:szCs w:val="24"/>
        </w:rPr>
        <w:t>ĮGYVENDINIMUI</w:t>
      </w:r>
    </w:p>
    <w:p w:rsidR="005516D2" w:rsidRPr="005516D2" w:rsidRDefault="005516D2" w:rsidP="005516D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:rsidR="005516D2" w:rsidRPr="005516D2" w:rsidRDefault="005516D2" w:rsidP="005516D2">
      <w:pPr>
        <w:shd w:val="clear" w:color="auto" w:fill="FFFFFF"/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16D2">
        <w:rPr>
          <w:rFonts w:ascii="Times New Roman" w:hAnsi="Times New Roman" w:cs="Times New Roman"/>
          <w:color w:val="222222"/>
          <w:sz w:val="24"/>
          <w:szCs w:val="24"/>
        </w:rPr>
        <w:tab/>
        <w:t xml:space="preserve">2020 m. rugsėjo 18 d. pasirašyta sutartis su Europos socialinio fondo agentūra dėl </w:t>
      </w:r>
      <w:r w:rsidRPr="005516D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projekto </w:t>
      </w:r>
      <w:r w:rsidRPr="005516D2">
        <w:rPr>
          <w:rFonts w:ascii="Times New Roman" w:hAnsi="Times New Roman" w:cs="Times New Roman"/>
          <w:sz w:val="24"/>
          <w:szCs w:val="24"/>
        </w:rPr>
        <w:t>,,Keturios gamtos stichijos mokinių pažangai“ įgyvendinimo. Tai ilgalaikis projektas, truksiantis iki 2022 m. rugpjūčio mėnesio.</w:t>
      </w:r>
    </w:p>
    <w:p w:rsidR="005516D2" w:rsidRPr="005516D2" w:rsidRDefault="005516D2" w:rsidP="005516D2">
      <w:pPr>
        <w:shd w:val="clear" w:color="auto" w:fill="FFFFFF"/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16D2">
        <w:rPr>
          <w:rFonts w:ascii="Times New Roman" w:hAnsi="Times New Roman" w:cs="Times New Roman"/>
          <w:b/>
          <w:sz w:val="24"/>
          <w:szCs w:val="24"/>
        </w:rPr>
        <w:tab/>
        <w:t xml:space="preserve">Projekte dalyvauja: </w:t>
      </w:r>
      <w:r w:rsidRPr="005516D2">
        <w:rPr>
          <w:rFonts w:ascii="Times New Roman" w:hAnsi="Times New Roman" w:cs="Times New Roman"/>
          <w:color w:val="000000"/>
          <w:sz w:val="24"/>
          <w:szCs w:val="24"/>
        </w:rPr>
        <w:t>Utenos Krašuonos progimnazija (paraiškos teikėjas), Utenos Aukštakalnio progimnazija, Utenos r. Užpalių gimnazija ir Zarasų Pauliaus Širvio progimnazija (mokyklos partneriai), Utenos švietimo centras (konsultavimas) ir Kauno J. Dobkevičiaus progimnazija (konsultuojanti mokykla).</w:t>
      </w:r>
    </w:p>
    <w:p w:rsidR="005516D2" w:rsidRPr="005516D2" w:rsidRDefault="005516D2" w:rsidP="005516D2">
      <w:pPr>
        <w:pStyle w:val="m-3427585475000400578gmail-msonormal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jc w:val="both"/>
        <w:rPr>
          <w:color w:val="222222"/>
        </w:rPr>
      </w:pPr>
      <w:r w:rsidRPr="005516D2">
        <w:rPr>
          <w:b/>
          <w:color w:val="222222"/>
        </w:rPr>
        <w:tab/>
        <w:t>Projekto tikslas</w:t>
      </w:r>
      <w:r w:rsidRPr="005516D2">
        <w:rPr>
          <w:color w:val="222222"/>
        </w:rPr>
        <w:t xml:space="preserve"> </w:t>
      </w:r>
      <w:r w:rsidRPr="005516D2">
        <w:rPr>
          <w:color w:val="000000"/>
        </w:rPr>
        <w:t>– Pagerinti aštuntos klasės mokinių g</w:t>
      </w:r>
      <w:bookmarkStart w:id="0" w:name="_GoBack"/>
      <w:bookmarkEnd w:id="0"/>
      <w:r w:rsidRPr="005516D2">
        <w:rPr>
          <w:color w:val="000000"/>
        </w:rPr>
        <w:t xml:space="preserve">amtos mokslų pasiekimus praktiškai taikant universalaus dizaino mokymuisi strategiją gamtos mokslų ir </w:t>
      </w:r>
      <w:proofErr w:type="spellStart"/>
      <w:r w:rsidRPr="005516D2">
        <w:rPr>
          <w:color w:val="000000"/>
        </w:rPr>
        <w:t>tarpdalykinėje</w:t>
      </w:r>
      <w:proofErr w:type="spellEnd"/>
      <w:r w:rsidRPr="005516D2">
        <w:rPr>
          <w:color w:val="000000"/>
        </w:rPr>
        <w:t xml:space="preserve"> integracijoje, vykdant ilgalaikius, mokslinį mąstymą ir tyrinėjimą ugdančius projektus bei plėtojant mokytojų kompetencijas. Kuriamo modelio </w:t>
      </w:r>
      <w:proofErr w:type="spellStart"/>
      <w:r w:rsidRPr="005516D2">
        <w:rPr>
          <w:color w:val="000000"/>
        </w:rPr>
        <w:t>inovatyvumas</w:t>
      </w:r>
      <w:proofErr w:type="spellEnd"/>
      <w:r w:rsidRPr="005516D2">
        <w:rPr>
          <w:color w:val="000000"/>
        </w:rPr>
        <w:t xml:space="preserve"> ir vertybinis pagrindas– UMD strategija, kuri orientuota į personalizuotą edukaciją. Siekiant, kad kiekvienas mokinys eitų savo mokymosi keliu ir patirtų sėkmę, projekte kuriamas </w:t>
      </w:r>
      <w:proofErr w:type="spellStart"/>
      <w:r w:rsidRPr="005516D2">
        <w:rPr>
          <w:color w:val="000000"/>
        </w:rPr>
        <w:t>inovatyvus</w:t>
      </w:r>
      <w:proofErr w:type="spellEnd"/>
      <w:r w:rsidRPr="005516D2">
        <w:rPr>
          <w:color w:val="000000"/>
        </w:rPr>
        <w:t xml:space="preserve"> modelis, kurio centre yra mokinys, o aplink jį sukasi modelio sudėtinės dalys padedančios mokiniui: sukurtas gamtos mokslų ir kitų mokomųjų dalykų praktinių užduočių elektroninis bankas, paremtas </w:t>
      </w:r>
      <w:proofErr w:type="spellStart"/>
      <w:r w:rsidRPr="005516D2">
        <w:rPr>
          <w:color w:val="000000"/>
        </w:rPr>
        <w:t>inovatyviomis</w:t>
      </w:r>
      <w:proofErr w:type="spellEnd"/>
      <w:r w:rsidRPr="005516D2">
        <w:rPr>
          <w:color w:val="000000"/>
        </w:rPr>
        <w:t xml:space="preserve"> UMD strategijomis; parengtų užduočių atlikimas tikslingai orientuotas į gamtos mokslų pasiekimų gerinimą „Stichijų klube“; integruotų kūrybinių/projektinių darbų rengimas, kurių tikslas– ugdyti mokinių mokslinį mąstymą bei kompetencijas, grindžiamas tyrinėjimu. Į veiklas integruoti darnaus vystymo, tarpkultūrinio </w:t>
      </w:r>
    </w:p>
    <w:p w:rsidR="005516D2" w:rsidRPr="005516D2" w:rsidRDefault="005516D2" w:rsidP="005516D2">
      <w:pPr>
        <w:pStyle w:val="m-3427585475000400578gmail-msonormal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222222"/>
        </w:rPr>
      </w:pPr>
      <w:r w:rsidRPr="005516D2">
        <w:rPr>
          <w:b/>
          <w:color w:val="222222"/>
        </w:rPr>
        <w:t>Siekiami projekto veiklų fiziniai rodikliai</w:t>
      </w:r>
      <w:r w:rsidRPr="005516D2">
        <w:rPr>
          <w:color w:val="222222"/>
        </w:rPr>
        <w:t xml:space="preserve">: parengtas integruotas užduočių bankas ir mokslinį mąstymą bei tyrinėjimą ugdantys projektai bei jų praktinis vykdymas bei atlikimas; </w:t>
      </w:r>
      <w:r w:rsidRPr="005516D2">
        <w:rPr>
          <w:color w:val="000000"/>
        </w:rPr>
        <w:t>projekto veiklų ir mokinių pasiekimų bei pažangos vertinimo įrankių sukūrimas bei jų taikymas.</w:t>
      </w:r>
    </w:p>
    <w:p w:rsidR="005516D2" w:rsidRPr="005516D2" w:rsidRDefault="005516D2" w:rsidP="005516D2">
      <w:pPr>
        <w:pStyle w:val="m-3427585475000400578gmail-msonormal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222222"/>
        </w:rPr>
      </w:pPr>
      <w:r w:rsidRPr="005516D2">
        <w:rPr>
          <w:b/>
          <w:bCs/>
          <w:color w:val="222222"/>
        </w:rPr>
        <w:t>Projekto tikslinė grupė</w:t>
      </w:r>
      <w:r w:rsidRPr="005516D2">
        <w:rPr>
          <w:color w:val="222222"/>
        </w:rPr>
        <w:t xml:space="preserve"> – 7 klasių mokiniai, </w:t>
      </w:r>
      <w:r w:rsidRPr="005516D2">
        <w:rPr>
          <w:color w:val="000000"/>
        </w:rPr>
        <w:t>švietimo įstaigų darbuotojai (mokytojai). Projekto dalyvių mokytojų b</w:t>
      </w:r>
      <w:r w:rsidRPr="005516D2">
        <w:rPr>
          <w:color w:val="222222"/>
        </w:rPr>
        <w:t>endrųjų kompetencijų plėtojimui bus parengta ir vykdoma suaugusiųjų neformaliojo švietimo programa.</w:t>
      </w:r>
    </w:p>
    <w:p w:rsidR="005516D2" w:rsidRPr="005516D2" w:rsidRDefault="005516D2" w:rsidP="005516D2">
      <w:pPr>
        <w:pStyle w:val="m-3427585475000400578gmail-msonormal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222222"/>
        </w:rPr>
      </w:pPr>
      <w:r w:rsidRPr="005516D2">
        <w:rPr>
          <w:b/>
          <w:color w:val="222222"/>
        </w:rPr>
        <w:t>Projektas prisidės</w:t>
      </w:r>
      <w:r w:rsidRPr="005516D2">
        <w:rPr>
          <w:color w:val="222222"/>
        </w:rPr>
        <w:t xml:space="preserve"> Projektas prisidės prie mokyklų strateginių tikslų įgyvendinimo, kuriant gerą mokyklą, atsižvelgiant į Utenos ir Zarasų rajonų sav. strateginių plėtros planų </w:t>
      </w:r>
      <w:r w:rsidRPr="005516D2">
        <w:rPr>
          <w:color w:val="222222"/>
        </w:rPr>
        <w:lastRenderedPageBreak/>
        <w:t>prioritetus, skirtus švietimo srities veiklai gerinti – mokymuisi palankių sąlygų sudarymas, Valstybinės švietimo 2013–2022 metų strategijos pirmo ir trečio tikslų įgyvendinimo - siekti nuolat tobulėjančių ir rezultatyviai dirbančių profesionalių mokytojų bei kurti jaunimui palankiausias galimybes išskleisti individualius gebėjimus; LR vyriausybės programos tikslo - darnaus švietimo kūrimo, tikslinės grupės diegiamos inovacijos ugdyme prisidės prie Lietuvos pažangos strategijos „Lietuva 2030“ siekio tapti sumania šalimi, kurioje gera gyventi ir dirbti.</w:t>
      </w:r>
    </w:p>
    <w:p w:rsidR="005516D2" w:rsidRPr="005516D2" w:rsidRDefault="005516D2" w:rsidP="005516D2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516D2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Projekto vykdytojas – </w:t>
      </w:r>
      <w:r w:rsidRPr="005516D2">
        <w:rPr>
          <w:rFonts w:ascii="Times New Roman" w:hAnsi="Times New Roman" w:cs="Times New Roman"/>
          <w:color w:val="000000"/>
          <w:sz w:val="24"/>
          <w:szCs w:val="24"/>
        </w:rPr>
        <w:t>Utenos Krašuonos progimnazija</w:t>
      </w:r>
      <w:r w:rsidRPr="005516D2">
        <w:rPr>
          <w:rFonts w:ascii="Times New Roman" w:hAnsi="Times New Roman" w:cs="Times New Roman"/>
          <w:color w:val="222222"/>
          <w:sz w:val="24"/>
          <w:szCs w:val="24"/>
        </w:rPr>
        <w:t>.</w:t>
      </w:r>
    </w:p>
    <w:p w:rsidR="005516D2" w:rsidRPr="005516D2" w:rsidRDefault="005516D2" w:rsidP="005516D2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516D2">
        <w:rPr>
          <w:rFonts w:ascii="Times New Roman" w:hAnsi="Times New Roman" w:cs="Times New Roman"/>
          <w:color w:val="222222"/>
          <w:sz w:val="24"/>
          <w:szCs w:val="24"/>
        </w:rPr>
        <w:t xml:space="preserve">Projekto vadovas – Rolandas Gruodinskas. </w:t>
      </w:r>
    </w:p>
    <w:p w:rsidR="005516D2" w:rsidRPr="005516D2" w:rsidRDefault="005516D2" w:rsidP="005516D2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516D2">
        <w:rPr>
          <w:rFonts w:ascii="Times New Roman" w:hAnsi="Times New Roman" w:cs="Times New Roman"/>
          <w:color w:val="222222"/>
          <w:sz w:val="24"/>
          <w:szCs w:val="24"/>
        </w:rPr>
        <w:t xml:space="preserve">Projekto koordinatorė – Viktorija </w:t>
      </w:r>
      <w:proofErr w:type="spellStart"/>
      <w:r w:rsidRPr="005516D2">
        <w:rPr>
          <w:rFonts w:ascii="Times New Roman" w:hAnsi="Times New Roman" w:cs="Times New Roman"/>
          <w:color w:val="222222"/>
          <w:sz w:val="24"/>
          <w:szCs w:val="24"/>
        </w:rPr>
        <w:t>Vilūnienė</w:t>
      </w:r>
      <w:proofErr w:type="spellEnd"/>
      <w:r w:rsidRPr="005516D2">
        <w:rPr>
          <w:rFonts w:ascii="Times New Roman" w:hAnsi="Times New Roman" w:cs="Times New Roman"/>
          <w:color w:val="222222"/>
          <w:sz w:val="24"/>
          <w:szCs w:val="24"/>
        </w:rPr>
        <w:t>.</w:t>
      </w:r>
    </w:p>
    <w:p w:rsidR="005516D2" w:rsidRPr="005516D2" w:rsidRDefault="005516D2" w:rsidP="005516D2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516D2">
        <w:rPr>
          <w:rFonts w:ascii="Times New Roman" w:hAnsi="Times New Roman" w:cs="Times New Roman"/>
          <w:color w:val="222222"/>
          <w:sz w:val="24"/>
          <w:szCs w:val="24"/>
        </w:rPr>
        <w:t xml:space="preserve">Projekto finansininkė – Jolanta Orantienė. </w:t>
      </w:r>
    </w:p>
    <w:p w:rsidR="005516D2" w:rsidRPr="005516D2" w:rsidRDefault="005516D2" w:rsidP="005516D2">
      <w:pPr>
        <w:shd w:val="clear" w:color="auto" w:fill="FFFFFF"/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6D2">
        <w:rPr>
          <w:rFonts w:ascii="Times New Roman" w:hAnsi="Times New Roman" w:cs="Times New Roman"/>
          <w:b/>
          <w:color w:val="222222"/>
          <w:sz w:val="24"/>
          <w:szCs w:val="24"/>
        </w:rPr>
        <w:tab/>
        <w:t xml:space="preserve">Projekto partneriai: </w:t>
      </w:r>
      <w:r w:rsidRPr="005516D2">
        <w:rPr>
          <w:rFonts w:ascii="Times New Roman" w:hAnsi="Times New Roman" w:cs="Times New Roman"/>
          <w:color w:val="000000"/>
          <w:sz w:val="24"/>
          <w:szCs w:val="24"/>
        </w:rPr>
        <w:t>Utenos Krašuonos progimnazija (paraiškos teikėjas), Utenos Aukštakalnio progimnazija, Utenos r. Užpalių gimnazija ir Zarasų Pauliaus Širvio progimnazija (mokyklos partneriai), Utenos švietimo centras (konsultavimas) ir Kauno J. Dobkevičiaus progimnazija (konsultuojanti mokykla).</w:t>
      </w:r>
    </w:p>
    <w:p w:rsidR="00A7264C" w:rsidRPr="005516D2" w:rsidRDefault="00A7264C" w:rsidP="00A7264C">
      <w:pPr>
        <w:pStyle w:val="Betarp"/>
        <w:spacing w:line="360" w:lineRule="auto"/>
        <w:ind w:left="3888"/>
        <w:jc w:val="both"/>
        <w:rPr>
          <w:rFonts w:ascii="Times New Roman" w:hAnsi="Times New Roman" w:cs="Times New Roman"/>
          <w:sz w:val="24"/>
          <w:szCs w:val="24"/>
        </w:rPr>
      </w:pPr>
    </w:p>
    <w:p w:rsidR="00A7264C" w:rsidRPr="005516D2" w:rsidRDefault="00A7264C" w:rsidP="005516D2">
      <w:pPr>
        <w:pStyle w:val="Betarp"/>
        <w:spacing w:line="360" w:lineRule="auto"/>
        <w:ind w:left="3888"/>
        <w:jc w:val="both"/>
        <w:rPr>
          <w:rFonts w:ascii="Times New Roman" w:hAnsi="Times New Roman" w:cs="Times New Roman"/>
          <w:sz w:val="24"/>
          <w:szCs w:val="24"/>
        </w:rPr>
      </w:pPr>
      <w:r w:rsidRPr="005516D2">
        <w:rPr>
          <w:rFonts w:ascii="Times New Roman" w:hAnsi="Times New Roman" w:cs="Times New Roman"/>
          <w:sz w:val="24"/>
          <w:szCs w:val="24"/>
        </w:rPr>
        <w:t xml:space="preserve">Parengė projekto koordinatorius Viktorija </w:t>
      </w:r>
      <w:proofErr w:type="spellStart"/>
      <w:r w:rsidRPr="005516D2">
        <w:rPr>
          <w:rFonts w:ascii="Times New Roman" w:hAnsi="Times New Roman" w:cs="Times New Roman"/>
          <w:sz w:val="24"/>
          <w:szCs w:val="24"/>
        </w:rPr>
        <w:t>Vilūnienė</w:t>
      </w:r>
      <w:proofErr w:type="spellEnd"/>
    </w:p>
    <w:sectPr w:rsidR="00A7264C" w:rsidRPr="005516D2" w:rsidSect="00925ADE">
      <w:headerReference w:type="default" r:id="rId7"/>
      <w:pgSz w:w="11906" w:h="16838"/>
      <w:pgMar w:top="1276" w:right="70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B28" w:rsidRDefault="00086B28" w:rsidP="00647D7A">
      <w:pPr>
        <w:spacing w:after="0" w:line="240" w:lineRule="auto"/>
      </w:pPr>
      <w:r>
        <w:separator/>
      </w:r>
    </w:p>
  </w:endnote>
  <w:endnote w:type="continuationSeparator" w:id="0">
    <w:p w:rsidR="00086B28" w:rsidRDefault="00086B28" w:rsidP="00647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B28" w:rsidRDefault="00086B28" w:rsidP="00647D7A">
      <w:pPr>
        <w:spacing w:after="0" w:line="240" w:lineRule="auto"/>
      </w:pPr>
      <w:r>
        <w:separator/>
      </w:r>
    </w:p>
  </w:footnote>
  <w:footnote w:type="continuationSeparator" w:id="0">
    <w:p w:rsidR="00086B28" w:rsidRDefault="00086B28" w:rsidP="00647D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Lentelstinklelis"/>
      <w:tblW w:w="5764" w:type="pct"/>
      <w:tblInd w:w="-11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417"/>
      <w:gridCol w:w="1120"/>
      <w:gridCol w:w="1258"/>
      <w:gridCol w:w="1398"/>
      <w:gridCol w:w="1538"/>
      <w:gridCol w:w="1537"/>
      <w:gridCol w:w="2930"/>
    </w:tblGrid>
    <w:tr w:rsidR="00C22020" w:rsidTr="00E93907">
      <w:trPr>
        <w:trHeight w:val="1279"/>
      </w:trPr>
      <w:tc>
        <w:tcPr>
          <w:tcW w:w="1418" w:type="dxa"/>
        </w:tcPr>
        <w:p w:rsidR="00C22020" w:rsidRDefault="00C22020" w:rsidP="00C22020">
          <w:pPr>
            <w:ind w:hanging="147"/>
            <w:jc w:val="center"/>
            <w:rPr>
              <w:color w:val="222222"/>
              <w:szCs w:val="24"/>
            </w:rPr>
          </w:pPr>
          <w:r w:rsidRPr="009057CF">
            <w:rPr>
              <w:rFonts w:ascii="Calibri" w:hAnsi="Calibri"/>
              <w:noProof/>
              <w:color w:val="595959"/>
              <w:sz w:val="32"/>
              <w:szCs w:val="32"/>
              <w:lang w:eastAsia="lt-LT"/>
            </w:rPr>
            <w:drawing>
              <wp:inline distT="0" distB="0" distL="0" distR="0" wp14:anchorId="68E40D61" wp14:editId="0FE231C6">
                <wp:extent cx="892332" cy="790575"/>
                <wp:effectExtent l="0" t="0" r="0" b="0"/>
                <wp:docPr id="21" name="Paveikslėlis 21" descr="EMBLEMA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EMBLEMA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0955" cy="7982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20" w:type="dxa"/>
        </w:tcPr>
        <w:p w:rsidR="00C22020" w:rsidRDefault="005516D2" w:rsidP="00C22020">
          <w:pPr>
            <w:jc w:val="center"/>
            <w:rPr>
              <w:color w:val="222222"/>
              <w:szCs w:val="24"/>
            </w:rPr>
          </w:pPr>
          <w:r>
            <w:rPr>
              <w:rFonts w:ascii="Calibri" w:hAnsi="Calibri"/>
              <w:noProof/>
              <w:color w:val="595959"/>
              <w:sz w:val="32"/>
              <w:szCs w:val="32"/>
              <w:lang w:eastAsia="lt-LT"/>
            </w:rPr>
            <w:drawing>
              <wp:inline distT="0" distB="0" distL="0" distR="0">
                <wp:extent cx="571500" cy="781050"/>
                <wp:effectExtent l="0" t="0" r="0" b="0"/>
                <wp:docPr id="2" name="Paveikslėlis 2" descr="mokyklos emblem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okyklos emblem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58" w:type="dxa"/>
        </w:tcPr>
        <w:p w:rsidR="00C22020" w:rsidRDefault="00C22020" w:rsidP="00C22020">
          <w:pPr>
            <w:jc w:val="center"/>
            <w:rPr>
              <w:color w:val="222222"/>
              <w:szCs w:val="24"/>
            </w:rPr>
          </w:pPr>
          <w:r>
            <w:rPr>
              <w:noProof/>
              <w:lang w:eastAsia="lt-LT"/>
            </w:rPr>
            <w:drawing>
              <wp:inline distT="0" distB="0" distL="0" distR="0" wp14:anchorId="246CA278" wp14:editId="76A1AD7B">
                <wp:extent cx="695325" cy="775247"/>
                <wp:effectExtent l="0" t="0" r="0" b="6350"/>
                <wp:docPr id="22" name="Paveikslėlis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1549" cy="78218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98" w:type="dxa"/>
        </w:tcPr>
        <w:p w:rsidR="00C722D0" w:rsidRPr="00591C20" w:rsidRDefault="005516D2" w:rsidP="00591C20">
          <w:pPr>
            <w:jc w:val="center"/>
            <w:rPr>
              <w:rFonts w:ascii="Calibri" w:hAnsi="Calibri"/>
              <w:color w:val="595959"/>
              <w:sz w:val="32"/>
              <w:szCs w:val="32"/>
            </w:rPr>
          </w:pPr>
          <w:r>
            <w:rPr>
              <w:rFonts w:ascii="Calibri" w:hAnsi="Calibri"/>
              <w:noProof/>
              <w:color w:val="595959"/>
              <w:sz w:val="32"/>
              <w:szCs w:val="32"/>
              <w:lang w:eastAsia="lt-LT"/>
            </w:rPr>
            <w:drawing>
              <wp:inline distT="0" distB="0" distL="0" distR="0">
                <wp:extent cx="781050" cy="781050"/>
                <wp:effectExtent l="0" t="0" r="0" b="0"/>
                <wp:docPr id="1" name="Paveikslėlis 1" descr="Emblem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mblem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C722D0" w:rsidRDefault="00C722D0" w:rsidP="00C22020">
          <w:pPr>
            <w:jc w:val="center"/>
            <w:rPr>
              <w:color w:val="222222"/>
              <w:szCs w:val="24"/>
            </w:rPr>
          </w:pPr>
        </w:p>
      </w:tc>
      <w:tc>
        <w:tcPr>
          <w:tcW w:w="1538" w:type="dxa"/>
        </w:tcPr>
        <w:p w:rsidR="00C22020" w:rsidRPr="0013397E" w:rsidRDefault="00C22020" w:rsidP="00C22020">
          <w:pPr>
            <w:jc w:val="center"/>
            <w:rPr>
              <w:i/>
              <w:noProof/>
              <w:lang w:eastAsia="lt-LT"/>
            </w:rPr>
          </w:pPr>
          <w:r>
            <w:rPr>
              <w:noProof/>
              <w:lang w:eastAsia="lt-LT"/>
            </w:rPr>
            <w:drawing>
              <wp:inline distT="0" distB="0" distL="0" distR="0" wp14:anchorId="05BFBA3D" wp14:editId="27586EE2">
                <wp:extent cx="887281" cy="714375"/>
                <wp:effectExtent l="0" t="0" r="8255" b="0"/>
                <wp:docPr id="23" name="Paveikslėlis 23" descr="https://www.dobkevicius.kaunas.lm.lt/Nauja/wp-content/uploads/2015/08/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9" descr="https://www.dobkevicius.kaunas.lm.lt/Nauja/wp-content/uploads/2015/08/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9947" cy="7245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37" w:type="dxa"/>
        </w:tcPr>
        <w:p w:rsidR="00C22020" w:rsidRPr="0013397E" w:rsidRDefault="00C22020" w:rsidP="00C22020">
          <w:pPr>
            <w:jc w:val="center"/>
            <w:rPr>
              <w:i/>
              <w:noProof/>
              <w:lang w:eastAsia="lt-LT"/>
            </w:rPr>
          </w:pPr>
          <w:r>
            <w:rPr>
              <w:noProof/>
              <w:lang w:eastAsia="lt-LT"/>
            </w:rPr>
            <w:drawing>
              <wp:inline distT="0" distB="0" distL="0" distR="0" wp14:anchorId="6B1A62C6" wp14:editId="6E4C36FE">
                <wp:extent cx="745104" cy="676275"/>
                <wp:effectExtent l="0" t="0" r="0" b="0"/>
                <wp:docPr id="24" name="Paveikslėlis 24" descr="LOGO_naujas_maza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OGO_naujas_maza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3629" cy="6930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30" w:type="dxa"/>
          <w:vAlign w:val="center"/>
        </w:tcPr>
        <w:p w:rsidR="00C22020" w:rsidRDefault="00C22020" w:rsidP="00C22020">
          <w:pPr>
            <w:jc w:val="center"/>
            <w:rPr>
              <w:color w:val="222222"/>
              <w:szCs w:val="24"/>
            </w:rPr>
          </w:pPr>
          <w:r w:rsidRPr="0013397E">
            <w:rPr>
              <w:i/>
              <w:noProof/>
              <w:lang w:eastAsia="lt-LT"/>
            </w:rPr>
            <w:drawing>
              <wp:anchor distT="0" distB="0" distL="114300" distR="114300" simplePos="0" relativeHeight="251658240" behindDoc="0" locked="0" layoutInCell="1" allowOverlap="1" wp14:anchorId="4828A1E7" wp14:editId="59D7E552">
                <wp:simplePos x="0" y="0"/>
                <wp:positionH relativeFrom="column">
                  <wp:posOffset>200025</wp:posOffset>
                </wp:positionH>
                <wp:positionV relativeFrom="paragraph">
                  <wp:posOffset>55880</wp:posOffset>
                </wp:positionV>
                <wp:extent cx="1704340" cy="670560"/>
                <wp:effectExtent l="0" t="0" r="0" b="0"/>
                <wp:wrapSquare wrapText="bothSides"/>
                <wp:docPr id="25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4340" cy="67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95364D" w:rsidRDefault="0095364D" w:rsidP="0095364D">
    <w:pPr>
      <w:shd w:val="clear" w:color="auto" w:fill="FFFFFF"/>
      <w:spacing w:after="0" w:line="240" w:lineRule="auto"/>
      <w:ind w:left="-426" w:hanging="426"/>
      <w:rPr>
        <w:color w:val="222222"/>
        <w:szCs w:val="24"/>
      </w:rPr>
    </w:pPr>
  </w:p>
  <w:p w:rsidR="00647D7A" w:rsidRDefault="00647D7A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36A95"/>
    <w:multiLevelType w:val="hybridMultilevel"/>
    <w:tmpl w:val="6062EC1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422C9"/>
    <w:multiLevelType w:val="hybridMultilevel"/>
    <w:tmpl w:val="681EADA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2713F4"/>
    <w:multiLevelType w:val="hybridMultilevel"/>
    <w:tmpl w:val="AD485968"/>
    <w:lvl w:ilvl="0" w:tplc="BB94A0AE">
      <w:start w:val="1"/>
      <w:numFmt w:val="decimal"/>
      <w:lvlText w:val="%1."/>
      <w:lvlJc w:val="left"/>
      <w:pPr>
        <w:ind w:left="1211" w:hanging="360"/>
      </w:pPr>
      <w:rPr>
        <w:rFonts w:hint="default"/>
        <w:b/>
        <w:u w:val="none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DB9"/>
    <w:rsid w:val="00007866"/>
    <w:rsid w:val="00027445"/>
    <w:rsid w:val="0006174D"/>
    <w:rsid w:val="00070380"/>
    <w:rsid w:val="00085F06"/>
    <w:rsid w:val="00086B28"/>
    <w:rsid w:val="000A2DB9"/>
    <w:rsid w:val="000D51ED"/>
    <w:rsid w:val="000E0D6F"/>
    <w:rsid w:val="000E2E89"/>
    <w:rsid w:val="000F5C6C"/>
    <w:rsid w:val="00107590"/>
    <w:rsid w:val="001444C0"/>
    <w:rsid w:val="00151665"/>
    <w:rsid w:val="0015270F"/>
    <w:rsid w:val="001728E8"/>
    <w:rsid w:val="00177A98"/>
    <w:rsid w:val="00184AA3"/>
    <w:rsid w:val="001A0E9D"/>
    <w:rsid w:val="001A7A6F"/>
    <w:rsid w:val="002078F9"/>
    <w:rsid w:val="00256B92"/>
    <w:rsid w:val="00265CB1"/>
    <w:rsid w:val="002E6FC2"/>
    <w:rsid w:val="002F36D3"/>
    <w:rsid w:val="002F5D8E"/>
    <w:rsid w:val="003E6382"/>
    <w:rsid w:val="00433931"/>
    <w:rsid w:val="00446607"/>
    <w:rsid w:val="004C54FC"/>
    <w:rsid w:val="004D06B4"/>
    <w:rsid w:val="005262B8"/>
    <w:rsid w:val="0054172A"/>
    <w:rsid w:val="005516D2"/>
    <w:rsid w:val="00591C20"/>
    <w:rsid w:val="005B5E38"/>
    <w:rsid w:val="005B7C15"/>
    <w:rsid w:val="005D2371"/>
    <w:rsid w:val="0060080D"/>
    <w:rsid w:val="00635648"/>
    <w:rsid w:val="00647D7A"/>
    <w:rsid w:val="006B2899"/>
    <w:rsid w:val="006C423E"/>
    <w:rsid w:val="007220DE"/>
    <w:rsid w:val="00797057"/>
    <w:rsid w:val="007C25B1"/>
    <w:rsid w:val="007C7A54"/>
    <w:rsid w:val="007D147D"/>
    <w:rsid w:val="00845F6D"/>
    <w:rsid w:val="00862AAA"/>
    <w:rsid w:val="0086706E"/>
    <w:rsid w:val="008E5C92"/>
    <w:rsid w:val="008F4B9A"/>
    <w:rsid w:val="00925ADE"/>
    <w:rsid w:val="0095364D"/>
    <w:rsid w:val="009617CE"/>
    <w:rsid w:val="00A20279"/>
    <w:rsid w:val="00A7264C"/>
    <w:rsid w:val="00A77612"/>
    <w:rsid w:val="00AC13AD"/>
    <w:rsid w:val="00B15BBA"/>
    <w:rsid w:val="00B24CFC"/>
    <w:rsid w:val="00B4369B"/>
    <w:rsid w:val="00B571AC"/>
    <w:rsid w:val="00B6429A"/>
    <w:rsid w:val="00B66D05"/>
    <w:rsid w:val="00BB55B3"/>
    <w:rsid w:val="00BF23A1"/>
    <w:rsid w:val="00C07CCD"/>
    <w:rsid w:val="00C154E2"/>
    <w:rsid w:val="00C22020"/>
    <w:rsid w:val="00C43F4C"/>
    <w:rsid w:val="00C722D0"/>
    <w:rsid w:val="00D00307"/>
    <w:rsid w:val="00D01904"/>
    <w:rsid w:val="00D32E41"/>
    <w:rsid w:val="00D838AD"/>
    <w:rsid w:val="00DC3439"/>
    <w:rsid w:val="00E23567"/>
    <w:rsid w:val="00E64FAA"/>
    <w:rsid w:val="00E93907"/>
    <w:rsid w:val="00EC2F52"/>
    <w:rsid w:val="00EC7A72"/>
    <w:rsid w:val="00ED346A"/>
    <w:rsid w:val="00F72570"/>
    <w:rsid w:val="00FB069D"/>
    <w:rsid w:val="00FC39D0"/>
    <w:rsid w:val="00FF0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B9F97C"/>
  <w15:docId w15:val="{BCC8A650-35E3-44B9-A76A-BA86F3E75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647D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47D7A"/>
  </w:style>
  <w:style w:type="paragraph" w:styleId="Porat">
    <w:name w:val="footer"/>
    <w:basedOn w:val="prastasis"/>
    <w:link w:val="PoratDiagrama"/>
    <w:uiPriority w:val="99"/>
    <w:unhideWhenUsed/>
    <w:rsid w:val="00647D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647D7A"/>
  </w:style>
  <w:style w:type="table" w:styleId="Lentelstinklelis">
    <w:name w:val="Table Grid"/>
    <w:basedOn w:val="prastojilentel"/>
    <w:uiPriority w:val="39"/>
    <w:rsid w:val="00647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647D7A"/>
    <w:pPr>
      <w:spacing w:after="200" w:line="276" w:lineRule="auto"/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F5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F5C6C"/>
    <w:rPr>
      <w:rFonts w:ascii="Tahoma" w:hAnsi="Tahoma" w:cs="Tahoma"/>
      <w:sz w:val="16"/>
      <w:szCs w:val="16"/>
    </w:rPr>
  </w:style>
  <w:style w:type="paragraph" w:styleId="Betarp">
    <w:name w:val="No Spacing"/>
    <w:uiPriority w:val="1"/>
    <w:qFormat/>
    <w:rsid w:val="00E23567"/>
    <w:pPr>
      <w:spacing w:after="0" w:line="240" w:lineRule="auto"/>
    </w:pPr>
  </w:style>
  <w:style w:type="paragraph" w:customStyle="1" w:styleId="m-3427585475000400578gmail-msonormal">
    <w:name w:val="m_-3427585475000400578gmail-msonormal"/>
    <w:basedOn w:val="prastasis"/>
    <w:rsid w:val="00551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4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em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2219</Words>
  <Characters>1265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</dc:creator>
  <cp:lastModifiedBy>213 (Viktorija)</cp:lastModifiedBy>
  <cp:revision>48</cp:revision>
  <cp:lastPrinted>2020-12-02T14:28:00Z</cp:lastPrinted>
  <dcterms:created xsi:type="dcterms:W3CDTF">2019-06-17T06:55:00Z</dcterms:created>
  <dcterms:modified xsi:type="dcterms:W3CDTF">2021-02-23T13:22:00Z</dcterms:modified>
</cp:coreProperties>
</file>